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9AE77" w14:textId="0CDDE960" w:rsidR="00C96B8C" w:rsidRDefault="00C96B8C" w:rsidP="00C96B8C">
      <w:pPr>
        <w:shd w:val="clear" w:color="auto" w:fill="202020"/>
        <w:spacing w:line="300" w:lineRule="atLeast"/>
        <w:ind w:left="-225"/>
        <w:rPr>
          <w:b/>
          <w:sz w:val="28"/>
          <w:szCs w:val="24"/>
        </w:rPr>
      </w:pPr>
      <w:r>
        <w:rPr>
          <w:rFonts w:ascii="Helvetica" w:hAnsi="Helvetica" w:cs="Helvetica"/>
          <w:noProof/>
          <w:color w:val="7F7F7F"/>
        </w:rPr>
        <mc:AlternateContent>
          <mc:Choice Requires="wps">
            <w:drawing>
              <wp:anchor distT="0" distB="0" distL="114300" distR="114300" simplePos="0" relativeHeight="251659264" behindDoc="0" locked="0" layoutInCell="1" allowOverlap="1" wp14:anchorId="384EB5A8" wp14:editId="4825D9E0">
                <wp:simplePos x="0" y="0"/>
                <wp:positionH relativeFrom="column">
                  <wp:posOffset>1691640</wp:posOffset>
                </wp:positionH>
                <wp:positionV relativeFrom="paragraph">
                  <wp:posOffset>83820</wp:posOffset>
                </wp:positionV>
                <wp:extent cx="4701540" cy="350520"/>
                <wp:effectExtent l="0" t="0" r="0" b="0"/>
                <wp:wrapNone/>
                <wp:docPr id="705" name="Text Box 705"/>
                <wp:cNvGraphicFramePr/>
                <a:graphic xmlns:a="http://schemas.openxmlformats.org/drawingml/2006/main">
                  <a:graphicData uri="http://schemas.microsoft.com/office/word/2010/wordprocessingShape">
                    <wps:wsp>
                      <wps:cNvSpPr txBox="1"/>
                      <wps:spPr>
                        <a:xfrm>
                          <a:off x="0" y="0"/>
                          <a:ext cx="4701540" cy="350520"/>
                        </a:xfrm>
                        <a:prstGeom prst="rect">
                          <a:avLst/>
                        </a:prstGeom>
                        <a:noFill/>
                        <a:ln w="6350">
                          <a:noFill/>
                        </a:ln>
                      </wps:spPr>
                      <wps:txbx>
                        <w:txbxContent>
                          <w:p w14:paraId="7935A8D8" w14:textId="2EAF1458" w:rsidR="00C96B8C" w:rsidRPr="00C96B8C" w:rsidRDefault="00C96B8C">
                            <w:pPr>
                              <w:rPr>
                                <w:rFonts w:ascii="Arial Black" w:hAnsi="Arial Black" w:cs="Arial"/>
                                <w:color w:val="FFFFFF" w:themeColor="background1"/>
                                <w:sz w:val="32"/>
                                <w:szCs w:val="32"/>
                              </w:rPr>
                            </w:pPr>
                            <w:r w:rsidRPr="00C96B8C">
                              <w:rPr>
                                <w:rFonts w:ascii="Arial Black" w:hAnsi="Arial Black" w:cs="Arial"/>
                                <w:color w:val="FFFFFF" w:themeColor="background1"/>
                                <w:sz w:val="32"/>
                                <w:szCs w:val="32"/>
                              </w:rPr>
                              <w:t>Employee Assistance during COVID-19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EB5A8" id="_x0000_t202" coordsize="21600,21600" o:spt="202" path="m,l,21600r21600,l21600,xe">
                <v:stroke joinstyle="miter"/>
                <v:path gradientshapeok="t" o:connecttype="rect"/>
              </v:shapetype>
              <v:shape id="Text Box 705" o:spid="_x0000_s1026" type="#_x0000_t202" style="position:absolute;left:0;text-align:left;margin-left:133.2pt;margin-top:6.6pt;width:370.2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" filled="f" stroked="f" strokeweight=".5pt">
                <v:textbox>
                  <w:txbxContent>
                    <w:p w14:paraId="7935A8D8" w14:textId="2EAF1458" w:rsidR="00C96B8C" w:rsidRPr="00C96B8C" w:rsidRDefault="00C96B8C">
                      <w:pPr>
                        <w:rPr>
                          <w:rFonts w:ascii="Arial Black" w:hAnsi="Arial Black" w:cs="Arial"/>
                          <w:color w:val="FFFFFF" w:themeColor="background1"/>
                          <w:sz w:val="32"/>
                          <w:szCs w:val="32"/>
                        </w:rPr>
                      </w:pPr>
                      <w:r w:rsidRPr="00C96B8C">
                        <w:rPr>
                          <w:rFonts w:ascii="Arial Black" w:hAnsi="Arial Black" w:cs="Arial"/>
                          <w:color w:val="FFFFFF" w:themeColor="background1"/>
                          <w:sz w:val="32"/>
                          <w:szCs w:val="32"/>
                        </w:rPr>
                        <w:t>Employee Assistance during COVID-19</w:t>
                      </w:r>
                    </w:p>
                  </w:txbxContent>
                </v:textbox>
              </v:shape>
            </w:pict>
          </mc:Fallback>
        </mc:AlternateContent>
      </w:r>
      <w:hyperlink r:id="rId7" w:history="1">
        <w:r w:rsidRPr="00593886">
          <w:rPr>
            <w:rFonts w:ascii="Fira Sans Extra Condensed" w:hAnsi="Fira Sans Extra Condensed" w:cs="Helvetica"/>
            <w:noProof/>
            <w:color w:val="B1B1B1"/>
            <w:sz w:val="40"/>
          </w:rPr>
          <w:drawing>
            <wp:inline distT="0" distB="0" distL="0" distR="0" wp14:anchorId="5A66F10F" wp14:editId="3A3AA085">
              <wp:extent cx="708660" cy="647700"/>
              <wp:effectExtent l="0" t="0" r="0" b="0"/>
              <wp:docPr id="1" name="Picture 1" descr="https://hfngroup.ca/wp-content/uploads/mp/image-cache/site/1/logo-icon.bde59deab543813abf27173820a185c9.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fngroup.ca/wp-content/uploads/mp/image-cache/site/1/logo-icon.bde59deab543813abf27173820a185c9.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 cy="647700"/>
                      </a:xfrm>
                      <a:prstGeom prst="rect">
                        <a:avLst/>
                      </a:prstGeom>
                      <a:noFill/>
                      <a:ln>
                        <a:noFill/>
                      </a:ln>
                    </pic:spPr>
                  </pic:pic>
                </a:graphicData>
              </a:graphic>
            </wp:inline>
          </w:drawing>
        </w:r>
        <w:r w:rsidRPr="00593886">
          <w:rPr>
            <w:rFonts w:ascii="Fira Sans Extra Condensed" w:hAnsi="Fira Sans Extra Condensed" w:cs="Helvetica"/>
            <w:color w:val="B1B1B1"/>
            <w:sz w:val="40"/>
          </w:rPr>
          <w:t>HFN Group of Businesses</w:t>
        </w:r>
      </w:hyperlink>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8"/>
        <w:gridCol w:w="1227"/>
        <w:gridCol w:w="720"/>
        <w:gridCol w:w="1681"/>
        <w:gridCol w:w="3269"/>
        <w:gridCol w:w="360"/>
      </w:tblGrid>
      <w:tr w:rsidR="00A35C21" w14:paraId="66DEC3A4" w14:textId="77777777" w:rsidTr="008E2949">
        <w:tc>
          <w:tcPr>
            <w:tcW w:w="10885" w:type="dxa"/>
            <w:gridSpan w:val="6"/>
          </w:tcPr>
          <w:p w14:paraId="7C8454A7" w14:textId="3C41CD97" w:rsidR="00A35C21" w:rsidRDefault="00A35C21" w:rsidP="00A35C21">
            <w:pPr>
              <w:rPr>
                <w:sz w:val="24"/>
                <w:szCs w:val="24"/>
              </w:rPr>
            </w:pPr>
            <w:r w:rsidRPr="00A35C21">
              <w:rPr>
                <w:sz w:val="24"/>
                <w:szCs w:val="24"/>
              </w:rPr>
              <w:t xml:space="preserve">There are a wide range of programs available to support our employees during the current COVID-19 pandemic.  </w:t>
            </w:r>
          </w:p>
          <w:p w14:paraId="5D1FB5C3" w14:textId="77777777" w:rsidR="00C96B8C" w:rsidRDefault="00C96B8C" w:rsidP="008E2949">
            <w:pPr>
              <w:rPr>
                <w:b/>
                <w:bCs/>
                <w:sz w:val="24"/>
                <w:szCs w:val="24"/>
              </w:rPr>
            </w:pPr>
            <w:r>
              <w:rPr>
                <w:b/>
                <w:bCs/>
                <w:sz w:val="24"/>
                <w:szCs w:val="24"/>
              </w:rPr>
              <w:t xml:space="preserve">New Programs are being announced daily – as we learn of the </w:t>
            </w:r>
            <w:r w:rsidR="008F77CC">
              <w:rPr>
                <w:b/>
                <w:bCs/>
                <w:sz w:val="24"/>
                <w:szCs w:val="24"/>
              </w:rPr>
              <w:t>programs,</w:t>
            </w:r>
            <w:r>
              <w:rPr>
                <w:b/>
                <w:bCs/>
                <w:sz w:val="24"/>
                <w:szCs w:val="24"/>
              </w:rPr>
              <w:t xml:space="preserve"> we will pass the information along to our employees</w:t>
            </w:r>
            <w:r w:rsidR="008E2949">
              <w:rPr>
                <w:b/>
                <w:bCs/>
                <w:sz w:val="24"/>
                <w:szCs w:val="24"/>
              </w:rPr>
              <w:t>.</w:t>
            </w:r>
          </w:p>
          <w:p w14:paraId="020A795E" w14:textId="484A154B" w:rsidR="008F77CC" w:rsidRPr="00A35C21" w:rsidRDefault="008F77CC" w:rsidP="008E2949">
            <w:pPr>
              <w:rPr>
                <w:b/>
                <w:bCs/>
                <w:sz w:val="24"/>
                <w:szCs w:val="24"/>
              </w:rPr>
            </w:pPr>
          </w:p>
        </w:tc>
      </w:tr>
      <w:tr w:rsidR="008E2949" w14:paraId="7D555E07" w14:textId="77777777" w:rsidTr="008E2949">
        <w:tc>
          <w:tcPr>
            <w:tcW w:w="4855" w:type="dxa"/>
            <w:gridSpan w:val="2"/>
            <w:vMerge w:val="restart"/>
          </w:tcPr>
          <w:p w14:paraId="614825CC" w14:textId="58744F4A" w:rsidR="008E2949" w:rsidRPr="00F453B9" w:rsidRDefault="008E2949">
            <w:pPr>
              <w:rPr>
                <w:b/>
                <w:bCs/>
                <w:i/>
                <w:iCs/>
                <w:sz w:val="28"/>
                <w:szCs w:val="28"/>
              </w:rPr>
            </w:pPr>
            <w:r w:rsidRPr="00F453B9">
              <w:rPr>
                <w:b/>
                <w:bCs/>
                <w:i/>
                <w:iCs/>
                <w:sz w:val="28"/>
                <w:szCs w:val="28"/>
              </w:rPr>
              <w:t>Government of Canada</w:t>
            </w:r>
          </w:p>
          <w:p w14:paraId="422A3E37" w14:textId="77777777" w:rsidR="008E2949" w:rsidRPr="00A35C21" w:rsidRDefault="008E2949" w:rsidP="00A35C21">
            <w:pPr>
              <w:pStyle w:val="ListParagraph"/>
              <w:numPr>
                <w:ilvl w:val="0"/>
                <w:numId w:val="2"/>
              </w:numPr>
              <w:rPr>
                <w:sz w:val="24"/>
                <w:szCs w:val="24"/>
              </w:rPr>
            </w:pPr>
            <w:r w:rsidRPr="00A35C21">
              <w:rPr>
                <w:sz w:val="24"/>
                <w:szCs w:val="24"/>
              </w:rPr>
              <w:t>Canada Emergency Response Benefit (CERB)</w:t>
            </w:r>
          </w:p>
          <w:p w14:paraId="440FDBD0" w14:textId="77777777" w:rsidR="008E2949" w:rsidRPr="00A35C21" w:rsidRDefault="008E2949" w:rsidP="00A35C21">
            <w:pPr>
              <w:pStyle w:val="ListParagraph"/>
              <w:numPr>
                <w:ilvl w:val="0"/>
                <w:numId w:val="2"/>
              </w:numPr>
              <w:rPr>
                <w:sz w:val="24"/>
                <w:szCs w:val="24"/>
              </w:rPr>
            </w:pPr>
            <w:r w:rsidRPr="00A35C21">
              <w:rPr>
                <w:sz w:val="24"/>
                <w:szCs w:val="24"/>
              </w:rPr>
              <w:t>Employment Insurance</w:t>
            </w:r>
          </w:p>
          <w:p w14:paraId="4D5B699B" w14:textId="67A84572" w:rsidR="008E2949" w:rsidRDefault="008E2949" w:rsidP="00A35C21">
            <w:pPr>
              <w:pStyle w:val="ListParagraph"/>
              <w:numPr>
                <w:ilvl w:val="0"/>
                <w:numId w:val="2"/>
              </w:numPr>
              <w:rPr>
                <w:sz w:val="24"/>
                <w:szCs w:val="24"/>
              </w:rPr>
            </w:pPr>
            <w:r w:rsidRPr="00A35C21">
              <w:rPr>
                <w:sz w:val="24"/>
                <w:szCs w:val="24"/>
              </w:rPr>
              <w:t>Employment Insurance Sickness Benefit</w:t>
            </w:r>
          </w:p>
          <w:p w14:paraId="4A9C308A" w14:textId="1F83326A" w:rsidR="008E2949" w:rsidRPr="00A35C21" w:rsidRDefault="008E2949" w:rsidP="00A35C21">
            <w:pPr>
              <w:pStyle w:val="ListParagraph"/>
              <w:numPr>
                <w:ilvl w:val="0"/>
                <w:numId w:val="2"/>
              </w:numPr>
              <w:rPr>
                <w:sz w:val="24"/>
                <w:szCs w:val="24"/>
              </w:rPr>
            </w:pPr>
            <w:r w:rsidRPr="00A35C21">
              <w:rPr>
                <w:sz w:val="24"/>
                <w:szCs w:val="24"/>
              </w:rPr>
              <w:t>Income Tax Filing date deferred</w:t>
            </w:r>
          </w:p>
          <w:p w14:paraId="0731DDA9" w14:textId="051CA4DA" w:rsidR="008E2949" w:rsidRPr="00A35C21" w:rsidRDefault="008E2949" w:rsidP="00A35C21">
            <w:pPr>
              <w:pStyle w:val="ListParagraph"/>
              <w:numPr>
                <w:ilvl w:val="0"/>
                <w:numId w:val="2"/>
              </w:numPr>
              <w:rPr>
                <w:sz w:val="24"/>
                <w:szCs w:val="24"/>
              </w:rPr>
            </w:pPr>
            <w:r w:rsidRPr="00A35C21">
              <w:rPr>
                <w:sz w:val="24"/>
                <w:szCs w:val="24"/>
              </w:rPr>
              <w:t>Increase to Canada Child Benefit (May 2020)</w:t>
            </w:r>
          </w:p>
          <w:p w14:paraId="36ECE5C9" w14:textId="68BE3A43" w:rsidR="008E2949" w:rsidRPr="00A35C21" w:rsidRDefault="008E2949" w:rsidP="00A35C21">
            <w:pPr>
              <w:pStyle w:val="ListParagraph"/>
              <w:numPr>
                <w:ilvl w:val="0"/>
                <w:numId w:val="2"/>
              </w:numPr>
              <w:rPr>
                <w:sz w:val="24"/>
                <w:szCs w:val="24"/>
              </w:rPr>
            </w:pPr>
            <w:r w:rsidRPr="00A35C21">
              <w:rPr>
                <w:sz w:val="24"/>
                <w:szCs w:val="24"/>
              </w:rPr>
              <w:t>Additional GST Credit payment (July 2020)</w:t>
            </w:r>
          </w:p>
          <w:p w14:paraId="44B7EF84" w14:textId="77777777" w:rsidR="008E2949" w:rsidRPr="00A35C21" w:rsidRDefault="008E2949">
            <w:pPr>
              <w:rPr>
                <w:sz w:val="24"/>
                <w:szCs w:val="24"/>
              </w:rPr>
            </w:pPr>
          </w:p>
          <w:p w14:paraId="2583AFC7" w14:textId="77777777" w:rsidR="008E2949" w:rsidRPr="00F453B9" w:rsidRDefault="008E2949">
            <w:pPr>
              <w:rPr>
                <w:b/>
                <w:bCs/>
                <w:i/>
                <w:iCs/>
                <w:sz w:val="28"/>
                <w:szCs w:val="28"/>
              </w:rPr>
            </w:pPr>
            <w:r w:rsidRPr="00F453B9">
              <w:rPr>
                <w:b/>
                <w:bCs/>
                <w:i/>
                <w:iCs/>
                <w:sz w:val="28"/>
                <w:szCs w:val="28"/>
              </w:rPr>
              <w:t>Provincial Government</w:t>
            </w:r>
          </w:p>
          <w:p w14:paraId="42E22E6E" w14:textId="77777777" w:rsidR="008E2949" w:rsidRPr="00A35C21" w:rsidRDefault="008E2949" w:rsidP="00A35C21">
            <w:pPr>
              <w:pStyle w:val="ListParagraph"/>
              <w:numPr>
                <w:ilvl w:val="0"/>
                <w:numId w:val="3"/>
              </w:numPr>
              <w:rPr>
                <w:sz w:val="24"/>
                <w:szCs w:val="24"/>
              </w:rPr>
            </w:pPr>
            <w:r w:rsidRPr="00A35C21">
              <w:rPr>
                <w:sz w:val="24"/>
                <w:szCs w:val="24"/>
              </w:rPr>
              <w:t>BC Emergency Benefit for Workers</w:t>
            </w:r>
          </w:p>
          <w:p w14:paraId="3B14019A" w14:textId="77777777" w:rsidR="008E2949" w:rsidRPr="00A35C21" w:rsidRDefault="008E2949" w:rsidP="00A35C21">
            <w:pPr>
              <w:pStyle w:val="ListParagraph"/>
              <w:numPr>
                <w:ilvl w:val="0"/>
                <w:numId w:val="3"/>
              </w:numPr>
              <w:rPr>
                <w:sz w:val="24"/>
                <w:szCs w:val="24"/>
              </w:rPr>
            </w:pPr>
            <w:r w:rsidRPr="00A35C21">
              <w:rPr>
                <w:sz w:val="24"/>
                <w:szCs w:val="24"/>
              </w:rPr>
              <w:t>Affordable Child Care Benefit (continuation)</w:t>
            </w:r>
          </w:p>
          <w:p w14:paraId="0F6A517E" w14:textId="2EE4E13B" w:rsidR="008E2949" w:rsidRPr="00A35C21" w:rsidRDefault="008E2949" w:rsidP="008E2949">
            <w:pPr>
              <w:pStyle w:val="ListParagraph"/>
              <w:numPr>
                <w:ilvl w:val="0"/>
                <w:numId w:val="3"/>
              </w:numPr>
              <w:rPr>
                <w:sz w:val="24"/>
                <w:szCs w:val="24"/>
              </w:rPr>
            </w:pPr>
            <w:r w:rsidRPr="00A35C21">
              <w:rPr>
                <w:sz w:val="24"/>
                <w:szCs w:val="24"/>
              </w:rPr>
              <w:t>BC Climate Action Tax Credit enhancement (July 2020)</w:t>
            </w:r>
          </w:p>
        </w:tc>
        <w:tc>
          <w:tcPr>
            <w:tcW w:w="720" w:type="dxa"/>
            <w:tcBorders>
              <w:right w:val="single" w:sz="36" w:space="0" w:color="auto"/>
            </w:tcBorders>
          </w:tcPr>
          <w:p w14:paraId="505C0F43" w14:textId="77777777" w:rsidR="008E2949" w:rsidRPr="00A35C21" w:rsidRDefault="008E2949">
            <w:pPr>
              <w:rPr>
                <w:sz w:val="24"/>
                <w:szCs w:val="24"/>
              </w:rPr>
            </w:pPr>
          </w:p>
        </w:tc>
        <w:tc>
          <w:tcPr>
            <w:tcW w:w="4950" w:type="dxa"/>
            <w:gridSpan w:val="2"/>
            <w:tcBorders>
              <w:top w:val="single" w:sz="36" w:space="0" w:color="auto"/>
              <w:left w:val="single" w:sz="36" w:space="0" w:color="auto"/>
              <w:bottom w:val="single" w:sz="36" w:space="0" w:color="auto"/>
              <w:right w:val="single" w:sz="36" w:space="0" w:color="auto"/>
            </w:tcBorders>
          </w:tcPr>
          <w:p w14:paraId="29BA7966" w14:textId="77777777" w:rsidR="008E2949" w:rsidRPr="00F453B9" w:rsidRDefault="008E2949" w:rsidP="00C96B8C">
            <w:pPr>
              <w:jc w:val="center"/>
              <w:rPr>
                <w:b/>
                <w:bCs/>
                <w:sz w:val="28"/>
                <w:szCs w:val="28"/>
              </w:rPr>
            </w:pPr>
            <w:r w:rsidRPr="00F453B9">
              <w:rPr>
                <w:b/>
                <w:bCs/>
                <w:sz w:val="28"/>
                <w:szCs w:val="28"/>
              </w:rPr>
              <w:t>Register for My Service Canada</w:t>
            </w:r>
          </w:p>
          <w:p w14:paraId="71D01126" w14:textId="77777777" w:rsidR="008E2949" w:rsidRDefault="008E2949" w:rsidP="00C96B8C">
            <w:pPr>
              <w:rPr>
                <w:sz w:val="24"/>
                <w:szCs w:val="24"/>
              </w:rPr>
            </w:pPr>
          </w:p>
          <w:p w14:paraId="562EC980" w14:textId="77777777" w:rsidR="008E2949" w:rsidRPr="00A35C21" w:rsidRDefault="008E2949" w:rsidP="00C96B8C">
            <w:pPr>
              <w:rPr>
                <w:sz w:val="24"/>
                <w:szCs w:val="24"/>
              </w:rPr>
            </w:pPr>
            <w:r w:rsidRPr="00A35C21">
              <w:rPr>
                <w:sz w:val="24"/>
                <w:szCs w:val="24"/>
              </w:rPr>
              <w:t>For those who want to be proactive and do not already have a My Service Canada Account, it takes 5-10 business days to receive the required Personal Account Code (PAC) by mail.  Please register now to ensure that you can apply as soon as the system is available for the Canada Emergency Response Benefit (CERB).</w:t>
            </w:r>
          </w:p>
          <w:p w14:paraId="5BF52683" w14:textId="77777777" w:rsidR="008E2949" w:rsidRPr="00A35C21" w:rsidRDefault="008E2949" w:rsidP="00C96B8C">
            <w:pPr>
              <w:rPr>
                <w:sz w:val="24"/>
                <w:szCs w:val="24"/>
              </w:rPr>
            </w:pPr>
          </w:p>
          <w:p w14:paraId="66D368D2" w14:textId="77777777" w:rsidR="008E2949" w:rsidRPr="00A35C21" w:rsidRDefault="00473DEB" w:rsidP="00C96B8C">
            <w:pPr>
              <w:shd w:val="clear" w:color="auto" w:fill="FFFFFF"/>
              <w:rPr>
                <w:sz w:val="24"/>
                <w:szCs w:val="24"/>
              </w:rPr>
            </w:pPr>
            <w:hyperlink r:id="rId9" w:anchor="request-code" w:history="1">
              <w:r w:rsidR="008E2949" w:rsidRPr="00A35C21">
                <w:rPr>
                  <w:rStyle w:val="Hyperlink"/>
                  <w:sz w:val="24"/>
                  <w:szCs w:val="24"/>
                </w:rPr>
                <w:t>https://www.canada.ca/en/employment-social-development/services/my-account/gckey.html#request-code</w:t>
              </w:r>
            </w:hyperlink>
          </w:p>
          <w:p w14:paraId="57693C72" w14:textId="77777777" w:rsidR="008E2949" w:rsidRPr="00A35C21" w:rsidRDefault="008E2949" w:rsidP="00C96B8C">
            <w:pPr>
              <w:shd w:val="clear" w:color="auto" w:fill="FFFFFF"/>
              <w:rPr>
                <w:rFonts w:eastAsia="Times New Roman" w:cstheme="minorHAnsi"/>
                <w:color w:val="333333"/>
                <w:sz w:val="24"/>
                <w:szCs w:val="24"/>
                <w:lang w:eastAsia="en-CA"/>
              </w:rPr>
            </w:pPr>
          </w:p>
          <w:p w14:paraId="7CC50F6F" w14:textId="2FCEECD6" w:rsidR="008E2949" w:rsidRPr="00A35C21" w:rsidRDefault="008E2949" w:rsidP="008E2949">
            <w:pPr>
              <w:shd w:val="clear" w:color="auto" w:fill="FFFFFF"/>
              <w:rPr>
                <w:sz w:val="24"/>
                <w:szCs w:val="24"/>
              </w:rPr>
            </w:pPr>
            <w:r w:rsidRPr="00A35C21">
              <w:rPr>
                <w:rFonts w:eastAsia="Times New Roman" w:cstheme="minorHAnsi"/>
                <w:color w:val="333333"/>
                <w:sz w:val="24"/>
                <w:szCs w:val="24"/>
                <w:lang w:eastAsia="en-CA"/>
              </w:rPr>
              <w:t xml:space="preserve">Contact the office </w:t>
            </w:r>
            <w:r w:rsidR="00B35049">
              <w:rPr>
                <w:rFonts w:eastAsia="Times New Roman" w:cstheme="minorHAnsi"/>
                <w:color w:val="333333"/>
                <w:sz w:val="24"/>
                <w:szCs w:val="24"/>
                <w:lang w:eastAsia="en-CA"/>
              </w:rPr>
              <w:t>if you need</w:t>
            </w:r>
            <w:r w:rsidRPr="00A35C21">
              <w:rPr>
                <w:rFonts w:eastAsia="Times New Roman" w:cstheme="minorHAnsi"/>
                <w:color w:val="333333"/>
                <w:sz w:val="24"/>
                <w:szCs w:val="24"/>
                <w:lang w:eastAsia="en-CA"/>
              </w:rPr>
              <w:t xml:space="preserve"> assistance in registering for your account.</w:t>
            </w:r>
          </w:p>
        </w:tc>
        <w:tc>
          <w:tcPr>
            <w:tcW w:w="360" w:type="dxa"/>
            <w:tcBorders>
              <w:left w:val="single" w:sz="36" w:space="0" w:color="auto"/>
            </w:tcBorders>
          </w:tcPr>
          <w:p w14:paraId="2EEE0C29" w14:textId="5A9EAE9F" w:rsidR="008E2949" w:rsidRPr="00A35C21" w:rsidRDefault="008E2949" w:rsidP="00C96B8C">
            <w:pPr>
              <w:shd w:val="clear" w:color="auto" w:fill="FFFFFF"/>
              <w:rPr>
                <w:sz w:val="24"/>
                <w:szCs w:val="24"/>
              </w:rPr>
            </w:pPr>
          </w:p>
        </w:tc>
      </w:tr>
      <w:tr w:rsidR="008E2949" w14:paraId="3A6D66ED" w14:textId="77777777" w:rsidTr="008E2949">
        <w:trPr>
          <w:trHeight w:val="125"/>
        </w:trPr>
        <w:tc>
          <w:tcPr>
            <w:tcW w:w="4855" w:type="dxa"/>
            <w:gridSpan w:val="2"/>
            <w:vMerge/>
          </w:tcPr>
          <w:p w14:paraId="26F26ACE" w14:textId="77777777" w:rsidR="008E2949" w:rsidRPr="00F453B9" w:rsidRDefault="008E2949">
            <w:pPr>
              <w:rPr>
                <w:b/>
                <w:bCs/>
                <w:i/>
                <w:iCs/>
                <w:sz w:val="28"/>
                <w:szCs w:val="28"/>
              </w:rPr>
            </w:pPr>
          </w:p>
        </w:tc>
        <w:tc>
          <w:tcPr>
            <w:tcW w:w="2401" w:type="dxa"/>
            <w:gridSpan w:val="2"/>
          </w:tcPr>
          <w:p w14:paraId="3CF81E6D" w14:textId="77777777" w:rsidR="008E2949" w:rsidRPr="008E2949" w:rsidRDefault="008E2949">
            <w:pPr>
              <w:rPr>
                <w:b/>
                <w:bCs/>
                <w:i/>
                <w:iCs/>
                <w:sz w:val="14"/>
                <w:szCs w:val="14"/>
              </w:rPr>
            </w:pPr>
          </w:p>
        </w:tc>
        <w:tc>
          <w:tcPr>
            <w:tcW w:w="3629" w:type="dxa"/>
            <w:gridSpan w:val="2"/>
          </w:tcPr>
          <w:p w14:paraId="15B42147" w14:textId="77777777" w:rsidR="008E2949" w:rsidRPr="00F453B9" w:rsidRDefault="008E2949" w:rsidP="00F453B9">
            <w:pPr>
              <w:rPr>
                <w:b/>
                <w:bCs/>
                <w:i/>
                <w:iCs/>
                <w:sz w:val="28"/>
                <w:szCs w:val="28"/>
              </w:rPr>
            </w:pPr>
          </w:p>
        </w:tc>
      </w:tr>
      <w:tr w:rsidR="008E2949" w14:paraId="2036DE34" w14:textId="77777777" w:rsidTr="008F77CC">
        <w:tc>
          <w:tcPr>
            <w:tcW w:w="3628" w:type="dxa"/>
            <w:tcBorders>
              <w:top w:val="single" w:sz="36" w:space="0" w:color="auto"/>
              <w:left w:val="single" w:sz="36" w:space="0" w:color="auto"/>
              <w:bottom w:val="single" w:sz="36" w:space="0" w:color="auto"/>
              <w:right w:val="single" w:sz="36" w:space="0" w:color="auto"/>
            </w:tcBorders>
          </w:tcPr>
          <w:p w14:paraId="1F6A0BA6" w14:textId="424DABBB" w:rsidR="008E2949" w:rsidRDefault="008E2949" w:rsidP="008E2949">
            <w:pPr>
              <w:jc w:val="center"/>
              <w:rPr>
                <w:b/>
                <w:bCs/>
                <w:i/>
                <w:iCs/>
                <w:sz w:val="28"/>
                <w:szCs w:val="28"/>
              </w:rPr>
            </w:pPr>
            <w:r w:rsidRPr="008E2949">
              <w:rPr>
                <w:b/>
                <w:bCs/>
                <w:i/>
                <w:iCs/>
                <w:sz w:val="28"/>
                <w:szCs w:val="28"/>
              </w:rPr>
              <w:t>Temporary Wage Subsidy</w:t>
            </w:r>
          </w:p>
          <w:p w14:paraId="7CDDC802" w14:textId="67A77CC2" w:rsidR="008E2949" w:rsidRPr="008E2949" w:rsidRDefault="008E2949" w:rsidP="008E2949">
            <w:pPr>
              <w:jc w:val="center"/>
              <w:rPr>
                <w:b/>
                <w:bCs/>
                <w:i/>
                <w:iCs/>
                <w:sz w:val="28"/>
                <w:szCs w:val="28"/>
              </w:rPr>
            </w:pPr>
            <w:r w:rsidRPr="008E2949">
              <w:rPr>
                <w:b/>
                <w:bCs/>
                <w:i/>
                <w:iCs/>
                <w:sz w:val="28"/>
                <w:szCs w:val="28"/>
              </w:rPr>
              <w:t>for Businesses</w:t>
            </w:r>
          </w:p>
          <w:p w14:paraId="634EFC0C" w14:textId="77777777" w:rsidR="008E2949" w:rsidRDefault="008E2949" w:rsidP="008E2949">
            <w:pPr>
              <w:rPr>
                <w:sz w:val="24"/>
                <w:szCs w:val="24"/>
              </w:rPr>
            </w:pPr>
            <w:r>
              <w:rPr>
                <w:sz w:val="24"/>
                <w:szCs w:val="24"/>
              </w:rPr>
              <w:t>We are waiting to receive the details of the program.</w:t>
            </w:r>
          </w:p>
          <w:p w14:paraId="682833FF" w14:textId="77777777" w:rsidR="008E2949" w:rsidRDefault="008E2949" w:rsidP="008E2949">
            <w:pPr>
              <w:rPr>
                <w:sz w:val="24"/>
                <w:szCs w:val="24"/>
              </w:rPr>
            </w:pPr>
          </w:p>
          <w:p w14:paraId="4F052A47" w14:textId="248CD9AD" w:rsidR="00A35C21" w:rsidRPr="008E2949" w:rsidRDefault="008E2949" w:rsidP="008E2949">
            <w:pPr>
              <w:rPr>
                <w:sz w:val="24"/>
                <w:szCs w:val="24"/>
              </w:rPr>
            </w:pPr>
            <w:r w:rsidRPr="008E2949">
              <w:rPr>
                <w:sz w:val="24"/>
                <w:szCs w:val="24"/>
              </w:rPr>
              <w:t>Once we have determined eligibility, we will let our employees know what we will be doing</w:t>
            </w:r>
            <w:r w:rsidR="008F77CC">
              <w:rPr>
                <w:sz w:val="24"/>
                <w:szCs w:val="24"/>
              </w:rPr>
              <w:t>.</w:t>
            </w:r>
          </w:p>
        </w:tc>
        <w:tc>
          <w:tcPr>
            <w:tcW w:w="3628" w:type="dxa"/>
            <w:gridSpan w:val="3"/>
            <w:tcBorders>
              <w:left w:val="single" w:sz="36" w:space="0" w:color="auto"/>
            </w:tcBorders>
          </w:tcPr>
          <w:p w14:paraId="592B8271" w14:textId="77777777" w:rsidR="008F77CC" w:rsidRDefault="008F77CC" w:rsidP="008E2949">
            <w:pPr>
              <w:rPr>
                <w:b/>
                <w:bCs/>
                <w:i/>
                <w:iCs/>
                <w:sz w:val="28"/>
                <w:szCs w:val="28"/>
              </w:rPr>
            </w:pPr>
          </w:p>
          <w:p w14:paraId="01309F94" w14:textId="09994CFF" w:rsidR="008E2949" w:rsidRPr="00F453B9" w:rsidRDefault="008E2949" w:rsidP="008E2949">
            <w:pPr>
              <w:rPr>
                <w:b/>
                <w:bCs/>
                <w:i/>
                <w:iCs/>
                <w:sz w:val="28"/>
                <w:szCs w:val="28"/>
              </w:rPr>
            </w:pPr>
            <w:r w:rsidRPr="00F453B9">
              <w:rPr>
                <w:b/>
                <w:bCs/>
                <w:i/>
                <w:iCs/>
                <w:sz w:val="28"/>
                <w:szCs w:val="28"/>
              </w:rPr>
              <w:t>Credit Support</w:t>
            </w:r>
          </w:p>
          <w:p w14:paraId="41669375" w14:textId="77777777" w:rsidR="008E2949" w:rsidRPr="00F453B9" w:rsidRDefault="008E2949" w:rsidP="008E2949">
            <w:pPr>
              <w:pStyle w:val="ListParagraph"/>
              <w:numPr>
                <w:ilvl w:val="0"/>
                <w:numId w:val="5"/>
              </w:numPr>
              <w:rPr>
                <w:sz w:val="24"/>
                <w:szCs w:val="24"/>
              </w:rPr>
            </w:pPr>
            <w:r w:rsidRPr="00F453B9">
              <w:rPr>
                <w:sz w:val="24"/>
                <w:szCs w:val="24"/>
              </w:rPr>
              <w:t>Student Loans Interest Free Moratorium</w:t>
            </w:r>
          </w:p>
          <w:p w14:paraId="1433C9D3" w14:textId="5919283B" w:rsidR="008E2949" w:rsidRPr="00A35C21" w:rsidRDefault="008E2949" w:rsidP="008F77CC">
            <w:pPr>
              <w:pStyle w:val="ListParagraph"/>
              <w:numPr>
                <w:ilvl w:val="0"/>
                <w:numId w:val="5"/>
              </w:numPr>
              <w:rPr>
                <w:sz w:val="24"/>
                <w:szCs w:val="24"/>
              </w:rPr>
            </w:pPr>
            <w:r w:rsidRPr="00F453B9">
              <w:rPr>
                <w:sz w:val="24"/>
                <w:szCs w:val="24"/>
              </w:rPr>
              <w:t>Many banks are providing support to their customers including payment deferral on mortgages, loans, credit cards and lines of credit.</w:t>
            </w:r>
          </w:p>
        </w:tc>
        <w:tc>
          <w:tcPr>
            <w:tcW w:w="3629" w:type="dxa"/>
            <w:gridSpan w:val="2"/>
          </w:tcPr>
          <w:p w14:paraId="002CFE01" w14:textId="77777777" w:rsidR="008F77CC" w:rsidRDefault="008F77CC" w:rsidP="008E2949">
            <w:pPr>
              <w:rPr>
                <w:b/>
                <w:bCs/>
                <w:i/>
                <w:iCs/>
                <w:sz w:val="28"/>
                <w:szCs w:val="28"/>
              </w:rPr>
            </w:pPr>
          </w:p>
          <w:p w14:paraId="099F8206" w14:textId="7537FE8B" w:rsidR="008E2949" w:rsidRPr="00F453B9" w:rsidRDefault="008E2949" w:rsidP="008E2949">
            <w:pPr>
              <w:rPr>
                <w:b/>
                <w:bCs/>
                <w:i/>
                <w:iCs/>
                <w:sz w:val="28"/>
                <w:szCs w:val="28"/>
              </w:rPr>
            </w:pPr>
            <w:r w:rsidRPr="00F453B9">
              <w:rPr>
                <w:b/>
                <w:bCs/>
                <w:i/>
                <w:iCs/>
                <w:sz w:val="28"/>
                <w:szCs w:val="28"/>
              </w:rPr>
              <w:t>Housing Support</w:t>
            </w:r>
          </w:p>
          <w:p w14:paraId="474BDB00" w14:textId="77777777" w:rsidR="008E2949" w:rsidRPr="00F453B9" w:rsidRDefault="008E2949" w:rsidP="008E2949">
            <w:pPr>
              <w:pStyle w:val="ListParagraph"/>
              <w:numPr>
                <w:ilvl w:val="0"/>
                <w:numId w:val="4"/>
              </w:numPr>
              <w:rPr>
                <w:sz w:val="24"/>
                <w:szCs w:val="24"/>
              </w:rPr>
            </w:pPr>
            <w:r w:rsidRPr="00F453B9">
              <w:rPr>
                <w:sz w:val="24"/>
                <w:szCs w:val="24"/>
              </w:rPr>
              <w:t xml:space="preserve">BC Temporary Rental Support Program </w:t>
            </w:r>
          </w:p>
          <w:p w14:paraId="441D5907" w14:textId="77777777" w:rsidR="008E2949" w:rsidRPr="00F453B9" w:rsidRDefault="008E2949" w:rsidP="008E2949">
            <w:pPr>
              <w:pStyle w:val="ListParagraph"/>
              <w:numPr>
                <w:ilvl w:val="0"/>
                <w:numId w:val="4"/>
              </w:numPr>
              <w:rPr>
                <w:sz w:val="24"/>
                <w:szCs w:val="24"/>
              </w:rPr>
            </w:pPr>
            <w:r w:rsidRPr="00F453B9">
              <w:rPr>
                <w:sz w:val="24"/>
                <w:szCs w:val="24"/>
              </w:rPr>
              <w:t>Halting evictions and freezing rental rates</w:t>
            </w:r>
          </w:p>
          <w:p w14:paraId="21D269F0" w14:textId="34ED4D11" w:rsidR="00A35C21" w:rsidRPr="008E2949" w:rsidRDefault="008E2949" w:rsidP="008E2949">
            <w:pPr>
              <w:pStyle w:val="ListParagraph"/>
              <w:numPr>
                <w:ilvl w:val="0"/>
                <w:numId w:val="4"/>
              </w:numPr>
              <w:rPr>
                <w:sz w:val="24"/>
                <w:szCs w:val="24"/>
              </w:rPr>
            </w:pPr>
            <w:r w:rsidRPr="008E2949">
              <w:rPr>
                <w:sz w:val="24"/>
                <w:szCs w:val="24"/>
              </w:rPr>
              <w:t>Mortgage Payment Deferral</w:t>
            </w:r>
          </w:p>
        </w:tc>
      </w:tr>
      <w:tr w:rsidR="008E2949" w:rsidRPr="008E2949" w14:paraId="173E01C0" w14:textId="77777777" w:rsidTr="008F77CC">
        <w:tc>
          <w:tcPr>
            <w:tcW w:w="3628" w:type="dxa"/>
            <w:tcBorders>
              <w:top w:val="single" w:sz="36" w:space="0" w:color="auto"/>
            </w:tcBorders>
          </w:tcPr>
          <w:p w14:paraId="2889FC3D" w14:textId="77777777" w:rsidR="008E2949" w:rsidRPr="008E2949" w:rsidRDefault="008E2949" w:rsidP="008E2949">
            <w:pPr>
              <w:rPr>
                <w:b/>
                <w:bCs/>
                <w:i/>
                <w:iCs/>
                <w:sz w:val="12"/>
                <w:szCs w:val="12"/>
              </w:rPr>
            </w:pPr>
          </w:p>
        </w:tc>
        <w:tc>
          <w:tcPr>
            <w:tcW w:w="3628" w:type="dxa"/>
            <w:gridSpan w:val="3"/>
          </w:tcPr>
          <w:p w14:paraId="509E6881" w14:textId="77777777" w:rsidR="008E2949" w:rsidRPr="008E2949" w:rsidRDefault="008E2949" w:rsidP="008E2949">
            <w:pPr>
              <w:rPr>
                <w:b/>
                <w:bCs/>
                <w:sz w:val="12"/>
                <w:szCs w:val="12"/>
              </w:rPr>
            </w:pPr>
          </w:p>
        </w:tc>
        <w:tc>
          <w:tcPr>
            <w:tcW w:w="3629" w:type="dxa"/>
            <w:gridSpan w:val="2"/>
          </w:tcPr>
          <w:p w14:paraId="681C0D7A" w14:textId="77777777" w:rsidR="008E2949" w:rsidRPr="008E2949" w:rsidRDefault="008E2949" w:rsidP="00F453B9">
            <w:pPr>
              <w:rPr>
                <w:b/>
                <w:bCs/>
                <w:sz w:val="12"/>
                <w:szCs w:val="12"/>
              </w:rPr>
            </w:pPr>
          </w:p>
        </w:tc>
      </w:tr>
      <w:tr w:rsidR="00342E1B" w14:paraId="3AC75405" w14:textId="77777777" w:rsidTr="008E2949">
        <w:tc>
          <w:tcPr>
            <w:tcW w:w="3628" w:type="dxa"/>
            <w:vMerge w:val="restart"/>
          </w:tcPr>
          <w:p w14:paraId="6529D577" w14:textId="77777777" w:rsidR="00342E1B" w:rsidRPr="008E2949" w:rsidRDefault="00342E1B" w:rsidP="008E2949">
            <w:pPr>
              <w:rPr>
                <w:b/>
                <w:bCs/>
                <w:i/>
                <w:iCs/>
                <w:sz w:val="28"/>
                <w:szCs w:val="28"/>
              </w:rPr>
            </w:pPr>
            <w:r w:rsidRPr="008E2949">
              <w:rPr>
                <w:b/>
                <w:bCs/>
                <w:i/>
                <w:iCs/>
                <w:sz w:val="28"/>
                <w:szCs w:val="28"/>
              </w:rPr>
              <w:t>Other Supports</w:t>
            </w:r>
          </w:p>
          <w:p w14:paraId="6574FEEE" w14:textId="02FE2BCA" w:rsidR="00592AE3" w:rsidRDefault="00342E1B" w:rsidP="008E2949">
            <w:pPr>
              <w:rPr>
                <w:sz w:val="24"/>
                <w:szCs w:val="24"/>
              </w:rPr>
            </w:pPr>
            <w:r w:rsidRPr="008E2949">
              <w:rPr>
                <w:b/>
                <w:bCs/>
                <w:sz w:val="24"/>
                <w:szCs w:val="24"/>
              </w:rPr>
              <w:t>BC Hydro</w:t>
            </w:r>
            <w:r w:rsidRPr="00A35C21">
              <w:rPr>
                <w:sz w:val="24"/>
                <w:szCs w:val="24"/>
              </w:rPr>
              <w:t xml:space="preserve"> – </w:t>
            </w:r>
            <w:r w:rsidR="00473DEB">
              <w:rPr>
                <w:sz w:val="24"/>
                <w:szCs w:val="24"/>
              </w:rPr>
              <w:t>3-month</w:t>
            </w:r>
            <w:r w:rsidR="00592AE3">
              <w:rPr>
                <w:sz w:val="24"/>
                <w:szCs w:val="24"/>
              </w:rPr>
              <w:t xml:space="preserve"> </w:t>
            </w:r>
            <w:bookmarkStart w:id="0" w:name="_GoBack"/>
            <w:bookmarkEnd w:id="0"/>
            <w:r w:rsidR="00592AE3">
              <w:rPr>
                <w:sz w:val="24"/>
                <w:szCs w:val="24"/>
              </w:rPr>
              <w:t>credit,</w:t>
            </w:r>
          </w:p>
          <w:p w14:paraId="44F22089" w14:textId="5C87EBFC" w:rsidR="00342E1B" w:rsidRDefault="00342E1B" w:rsidP="008E2949">
            <w:pPr>
              <w:rPr>
                <w:sz w:val="24"/>
                <w:szCs w:val="24"/>
              </w:rPr>
            </w:pPr>
            <w:r w:rsidRPr="00A35C21">
              <w:rPr>
                <w:sz w:val="24"/>
                <w:szCs w:val="24"/>
              </w:rPr>
              <w:t>COVID-19 Customer Assistance Program and Customer Crisis Fund</w:t>
            </w:r>
          </w:p>
          <w:p w14:paraId="52B6641D" w14:textId="77777777" w:rsidR="00342E1B" w:rsidRPr="00A35C21" w:rsidRDefault="00342E1B" w:rsidP="008E2949">
            <w:pPr>
              <w:rPr>
                <w:sz w:val="24"/>
                <w:szCs w:val="24"/>
              </w:rPr>
            </w:pPr>
          </w:p>
          <w:p w14:paraId="10700A9B" w14:textId="3B30D039" w:rsidR="00342E1B" w:rsidRPr="00A35C21" w:rsidRDefault="00342E1B" w:rsidP="008E2949">
            <w:pPr>
              <w:rPr>
                <w:sz w:val="24"/>
                <w:szCs w:val="24"/>
              </w:rPr>
            </w:pPr>
            <w:r w:rsidRPr="008E2949">
              <w:rPr>
                <w:b/>
                <w:bCs/>
                <w:sz w:val="24"/>
                <w:szCs w:val="24"/>
              </w:rPr>
              <w:t>ICBC</w:t>
            </w:r>
            <w:r w:rsidRPr="008E2949">
              <w:rPr>
                <w:b/>
                <w:bCs/>
                <w:i/>
                <w:iCs/>
                <w:sz w:val="24"/>
                <w:szCs w:val="24"/>
              </w:rPr>
              <w:t xml:space="preserve"> </w:t>
            </w:r>
            <w:r w:rsidRPr="00A35C21">
              <w:rPr>
                <w:sz w:val="24"/>
                <w:szCs w:val="24"/>
              </w:rPr>
              <w:t>– deferral of monthly payments for up to 90 days</w:t>
            </w:r>
          </w:p>
          <w:p w14:paraId="17D70DAD" w14:textId="77777777" w:rsidR="00342E1B" w:rsidRPr="00A35C21" w:rsidRDefault="00342E1B" w:rsidP="008E2949">
            <w:pPr>
              <w:rPr>
                <w:sz w:val="24"/>
                <w:szCs w:val="24"/>
              </w:rPr>
            </w:pPr>
          </w:p>
          <w:p w14:paraId="73F72556" w14:textId="23EE5756" w:rsidR="00342E1B" w:rsidRPr="00A35C21" w:rsidRDefault="00342E1B" w:rsidP="008F77CC">
            <w:pPr>
              <w:rPr>
                <w:sz w:val="24"/>
                <w:szCs w:val="24"/>
              </w:rPr>
            </w:pPr>
            <w:r w:rsidRPr="008E2949">
              <w:rPr>
                <w:b/>
                <w:bCs/>
                <w:sz w:val="24"/>
                <w:szCs w:val="24"/>
              </w:rPr>
              <w:t>Fortis BC</w:t>
            </w:r>
            <w:r w:rsidRPr="00A35C21">
              <w:rPr>
                <w:sz w:val="24"/>
                <w:szCs w:val="24"/>
              </w:rPr>
              <w:t xml:space="preserve"> – waiving of late payment fees and flexible payment options</w:t>
            </w:r>
          </w:p>
        </w:tc>
        <w:tc>
          <w:tcPr>
            <w:tcW w:w="3628" w:type="dxa"/>
            <w:gridSpan w:val="3"/>
          </w:tcPr>
          <w:p w14:paraId="02F1D4D9" w14:textId="77777777" w:rsidR="00342E1B" w:rsidRPr="00A35C21" w:rsidRDefault="00342E1B" w:rsidP="008E2949">
            <w:pPr>
              <w:rPr>
                <w:sz w:val="24"/>
                <w:szCs w:val="24"/>
              </w:rPr>
            </w:pPr>
          </w:p>
          <w:p w14:paraId="56670AC1" w14:textId="2AF13874" w:rsidR="00342E1B" w:rsidRDefault="00342E1B" w:rsidP="008E2949">
            <w:pPr>
              <w:rPr>
                <w:sz w:val="24"/>
                <w:szCs w:val="24"/>
              </w:rPr>
            </w:pPr>
            <w:r w:rsidRPr="008E2949">
              <w:rPr>
                <w:b/>
                <w:bCs/>
                <w:sz w:val="24"/>
                <w:szCs w:val="24"/>
              </w:rPr>
              <w:t>Shaw</w:t>
            </w:r>
            <w:r w:rsidRPr="008E2949">
              <w:rPr>
                <w:sz w:val="24"/>
                <w:szCs w:val="24"/>
              </w:rPr>
              <w:t xml:space="preserve"> </w:t>
            </w:r>
            <w:r w:rsidRPr="00A35C21">
              <w:rPr>
                <w:sz w:val="24"/>
                <w:szCs w:val="24"/>
              </w:rPr>
              <w:t xml:space="preserve">– flexible payment plans, free channel previews, Shaw Go </w:t>
            </w:r>
            <w:r w:rsidR="00473DEB" w:rsidRPr="00A35C21">
              <w:rPr>
                <w:sz w:val="24"/>
                <w:szCs w:val="24"/>
              </w:rPr>
              <w:t>Wi-Fi</w:t>
            </w:r>
            <w:r w:rsidRPr="00A35C21">
              <w:rPr>
                <w:sz w:val="24"/>
                <w:szCs w:val="24"/>
              </w:rPr>
              <w:t xml:space="preserve"> available free to everyone</w:t>
            </w:r>
          </w:p>
          <w:p w14:paraId="721E3DEE" w14:textId="77777777" w:rsidR="00342E1B" w:rsidRPr="00A35C21" w:rsidRDefault="00342E1B" w:rsidP="008E2949">
            <w:pPr>
              <w:rPr>
                <w:sz w:val="24"/>
                <w:szCs w:val="24"/>
              </w:rPr>
            </w:pPr>
          </w:p>
          <w:p w14:paraId="104ABB24" w14:textId="3A12B94A" w:rsidR="00342E1B" w:rsidRDefault="00342E1B" w:rsidP="008E2949">
            <w:pPr>
              <w:rPr>
                <w:sz w:val="24"/>
                <w:szCs w:val="24"/>
              </w:rPr>
            </w:pPr>
            <w:r w:rsidRPr="008E2949">
              <w:rPr>
                <w:b/>
                <w:bCs/>
                <w:sz w:val="24"/>
                <w:szCs w:val="24"/>
              </w:rPr>
              <w:t>Shaw Connecting Families</w:t>
            </w:r>
            <w:r w:rsidRPr="00A35C21">
              <w:rPr>
                <w:sz w:val="24"/>
                <w:szCs w:val="24"/>
              </w:rPr>
              <w:t xml:space="preserve"> Initiative – waiving fees for 2 months</w:t>
            </w:r>
          </w:p>
          <w:p w14:paraId="7B5B2199" w14:textId="77777777" w:rsidR="004D055A" w:rsidRDefault="004D055A" w:rsidP="008E2949">
            <w:pPr>
              <w:rPr>
                <w:sz w:val="24"/>
                <w:szCs w:val="24"/>
              </w:rPr>
            </w:pPr>
          </w:p>
          <w:p w14:paraId="6B605A23" w14:textId="682B9375" w:rsidR="004D055A" w:rsidRPr="00A35C21" w:rsidRDefault="004D055A" w:rsidP="001D1912">
            <w:pPr>
              <w:rPr>
                <w:sz w:val="24"/>
                <w:szCs w:val="24"/>
              </w:rPr>
            </w:pPr>
            <w:r w:rsidRPr="004D055A">
              <w:rPr>
                <w:b/>
                <w:bCs/>
                <w:sz w:val="24"/>
                <w:szCs w:val="24"/>
              </w:rPr>
              <w:t>BC Transit</w:t>
            </w:r>
            <w:r>
              <w:rPr>
                <w:sz w:val="24"/>
                <w:szCs w:val="24"/>
              </w:rPr>
              <w:t xml:space="preserve"> – fares suspended </w:t>
            </w:r>
          </w:p>
        </w:tc>
        <w:tc>
          <w:tcPr>
            <w:tcW w:w="3629" w:type="dxa"/>
            <w:gridSpan w:val="2"/>
          </w:tcPr>
          <w:p w14:paraId="475F0923" w14:textId="77777777" w:rsidR="00342E1B" w:rsidRDefault="00342E1B" w:rsidP="00F453B9">
            <w:pPr>
              <w:rPr>
                <w:b/>
                <w:bCs/>
                <w:sz w:val="24"/>
                <w:szCs w:val="24"/>
              </w:rPr>
            </w:pPr>
          </w:p>
          <w:p w14:paraId="31CF3295" w14:textId="258A5802" w:rsidR="00342E1B" w:rsidRPr="00A35C21" w:rsidRDefault="00342E1B" w:rsidP="00F453B9">
            <w:pPr>
              <w:rPr>
                <w:sz w:val="24"/>
                <w:szCs w:val="24"/>
              </w:rPr>
            </w:pPr>
            <w:r w:rsidRPr="008E2949">
              <w:rPr>
                <w:b/>
                <w:bCs/>
                <w:sz w:val="24"/>
                <w:szCs w:val="24"/>
              </w:rPr>
              <w:t>Telus</w:t>
            </w:r>
            <w:r w:rsidRPr="00A35C21">
              <w:rPr>
                <w:sz w:val="24"/>
                <w:szCs w:val="24"/>
              </w:rPr>
              <w:t xml:space="preserve"> – waiving of home internet overage charges, flexible payment plans, free channel previews and free educational activities</w:t>
            </w:r>
          </w:p>
          <w:p w14:paraId="74D4598A" w14:textId="77777777" w:rsidR="00342E1B" w:rsidRPr="00A35C21" w:rsidRDefault="00342E1B" w:rsidP="00F453B9">
            <w:pPr>
              <w:rPr>
                <w:sz w:val="24"/>
                <w:szCs w:val="24"/>
              </w:rPr>
            </w:pPr>
          </w:p>
          <w:p w14:paraId="117C0B0E" w14:textId="77777777" w:rsidR="00342E1B" w:rsidRPr="00A35C21" w:rsidRDefault="00342E1B" w:rsidP="00F453B9">
            <w:pPr>
              <w:rPr>
                <w:sz w:val="24"/>
                <w:szCs w:val="24"/>
              </w:rPr>
            </w:pPr>
            <w:r w:rsidRPr="008E2949">
              <w:rPr>
                <w:b/>
                <w:bCs/>
                <w:sz w:val="24"/>
                <w:szCs w:val="24"/>
              </w:rPr>
              <w:t>Telus Internet for Good</w:t>
            </w:r>
            <w:r w:rsidRPr="00A35C21">
              <w:rPr>
                <w:sz w:val="24"/>
                <w:szCs w:val="24"/>
              </w:rPr>
              <w:t xml:space="preserve"> Program – waiving fees for 60 days</w:t>
            </w:r>
          </w:p>
          <w:p w14:paraId="5EC0DEBE" w14:textId="77777777" w:rsidR="00342E1B" w:rsidRPr="00A35C21" w:rsidRDefault="00342E1B" w:rsidP="00F453B9">
            <w:pPr>
              <w:rPr>
                <w:sz w:val="24"/>
                <w:szCs w:val="24"/>
              </w:rPr>
            </w:pPr>
          </w:p>
          <w:p w14:paraId="6A6EE154" w14:textId="417F943F" w:rsidR="00342E1B" w:rsidRPr="00A35C21" w:rsidRDefault="00342E1B" w:rsidP="00F453B9">
            <w:pPr>
              <w:rPr>
                <w:sz w:val="24"/>
                <w:szCs w:val="24"/>
              </w:rPr>
            </w:pPr>
          </w:p>
        </w:tc>
      </w:tr>
      <w:tr w:rsidR="00342E1B" w14:paraId="62265651" w14:textId="77777777" w:rsidTr="003A4EDC">
        <w:tc>
          <w:tcPr>
            <w:tcW w:w="3628" w:type="dxa"/>
            <w:vMerge/>
          </w:tcPr>
          <w:p w14:paraId="4B98420F" w14:textId="77777777" w:rsidR="00342E1B" w:rsidRPr="008E2949" w:rsidRDefault="00342E1B" w:rsidP="008E2949">
            <w:pPr>
              <w:rPr>
                <w:b/>
                <w:bCs/>
                <w:i/>
                <w:iCs/>
                <w:sz w:val="28"/>
                <w:szCs w:val="28"/>
              </w:rPr>
            </w:pPr>
          </w:p>
        </w:tc>
        <w:tc>
          <w:tcPr>
            <w:tcW w:w="7257" w:type="dxa"/>
            <w:gridSpan w:val="5"/>
          </w:tcPr>
          <w:p w14:paraId="2DE9170F" w14:textId="1F222469" w:rsidR="00342E1B" w:rsidRPr="00342E1B" w:rsidRDefault="00342E1B" w:rsidP="00F453B9">
            <w:pPr>
              <w:rPr>
                <w:b/>
                <w:bCs/>
                <w:sz w:val="24"/>
                <w:szCs w:val="24"/>
              </w:rPr>
            </w:pPr>
            <w:r w:rsidRPr="00342E1B">
              <w:rPr>
                <w:b/>
                <w:bCs/>
                <w:sz w:val="24"/>
                <w:szCs w:val="24"/>
              </w:rPr>
              <w:t>For detailed information on these programs please contact the office.</w:t>
            </w:r>
          </w:p>
        </w:tc>
      </w:tr>
    </w:tbl>
    <w:p w14:paraId="1B2FE538" w14:textId="77777777" w:rsidR="00FF6F49" w:rsidRDefault="00FF6F49"/>
    <w:sectPr w:rsidR="00FF6F49" w:rsidSect="00592AE3">
      <w:footerReference w:type="default" r:id="rId10"/>
      <w:pgSz w:w="12240" w:h="15840"/>
      <w:pgMar w:top="432" w:right="720" w:bottom="432" w:left="72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35B16" w14:textId="77777777" w:rsidR="004A3EB7" w:rsidRDefault="004A3EB7" w:rsidP="00592AE3">
      <w:pPr>
        <w:spacing w:after="0" w:line="240" w:lineRule="auto"/>
      </w:pPr>
      <w:r>
        <w:separator/>
      </w:r>
    </w:p>
  </w:endnote>
  <w:endnote w:type="continuationSeparator" w:id="0">
    <w:p w14:paraId="2D39BC02" w14:textId="77777777" w:rsidR="004A3EB7" w:rsidRDefault="004A3EB7" w:rsidP="0059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Fira Sans Extra Condense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67BEE" w14:textId="74A75F1B" w:rsidR="00592AE3" w:rsidRPr="00592AE3" w:rsidRDefault="00592AE3" w:rsidP="00592AE3">
    <w:pPr>
      <w:pStyle w:val="Footer"/>
      <w:jc w:val="right"/>
      <w:rPr>
        <w:sz w:val="20"/>
        <w:szCs w:val="20"/>
      </w:rPr>
    </w:pPr>
    <w:r w:rsidRPr="00592AE3">
      <w:rPr>
        <w:sz w:val="20"/>
        <w:szCs w:val="20"/>
      </w:rPr>
      <w:t>April 1,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72578" w14:textId="77777777" w:rsidR="004A3EB7" w:rsidRDefault="004A3EB7" w:rsidP="00592AE3">
      <w:pPr>
        <w:spacing w:after="0" w:line="240" w:lineRule="auto"/>
      </w:pPr>
      <w:r>
        <w:separator/>
      </w:r>
    </w:p>
  </w:footnote>
  <w:footnote w:type="continuationSeparator" w:id="0">
    <w:p w14:paraId="6796731F" w14:textId="77777777" w:rsidR="004A3EB7" w:rsidRDefault="004A3EB7" w:rsidP="00592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71FC"/>
    <w:multiLevelType w:val="hybridMultilevel"/>
    <w:tmpl w:val="863ADB30"/>
    <w:lvl w:ilvl="0" w:tplc="7D56D822">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237449"/>
    <w:multiLevelType w:val="hybridMultilevel"/>
    <w:tmpl w:val="E51E51CC"/>
    <w:lvl w:ilvl="0" w:tplc="7D56D822">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9A521F"/>
    <w:multiLevelType w:val="hybridMultilevel"/>
    <w:tmpl w:val="70141446"/>
    <w:lvl w:ilvl="0" w:tplc="7D56D822">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C030FF"/>
    <w:multiLevelType w:val="hybridMultilevel"/>
    <w:tmpl w:val="E73ED2EE"/>
    <w:lvl w:ilvl="0" w:tplc="7D56D822">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59967E7"/>
    <w:multiLevelType w:val="hybridMultilevel"/>
    <w:tmpl w:val="B04CF1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49"/>
    <w:rsid w:val="001D1912"/>
    <w:rsid w:val="00342E1B"/>
    <w:rsid w:val="00473DEB"/>
    <w:rsid w:val="004A3EB7"/>
    <w:rsid w:val="004D055A"/>
    <w:rsid w:val="00592AE3"/>
    <w:rsid w:val="008C7B5A"/>
    <w:rsid w:val="008E2949"/>
    <w:rsid w:val="008F77CC"/>
    <w:rsid w:val="00A35C21"/>
    <w:rsid w:val="00B35049"/>
    <w:rsid w:val="00C96B8C"/>
    <w:rsid w:val="00ED7C59"/>
    <w:rsid w:val="00F453B9"/>
    <w:rsid w:val="00FF6F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6BC1"/>
  <w15:chartTrackingRefBased/>
  <w15:docId w15:val="{B98FCC8F-DF98-41F8-BE6E-6F5654D24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6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6F49"/>
    <w:rPr>
      <w:color w:val="0000FF"/>
      <w:u w:val="single"/>
    </w:rPr>
  </w:style>
  <w:style w:type="paragraph" w:styleId="ListParagraph">
    <w:name w:val="List Paragraph"/>
    <w:basedOn w:val="Normal"/>
    <w:uiPriority w:val="34"/>
    <w:qFormat/>
    <w:rsid w:val="00A35C21"/>
    <w:pPr>
      <w:ind w:left="720"/>
      <w:contextualSpacing/>
    </w:pPr>
  </w:style>
  <w:style w:type="paragraph" w:styleId="BalloonText">
    <w:name w:val="Balloon Text"/>
    <w:basedOn w:val="Normal"/>
    <w:link w:val="BalloonTextChar"/>
    <w:uiPriority w:val="99"/>
    <w:semiHidden/>
    <w:unhideWhenUsed/>
    <w:rsid w:val="00342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E1B"/>
    <w:rPr>
      <w:rFonts w:ascii="Segoe UI" w:hAnsi="Segoe UI" w:cs="Segoe UI"/>
      <w:sz w:val="18"/>
      <w:szCs w:val="18"/>
    </w:rPr>
  </w:style>
  <w:style w:type="paragraph" w:styleId="Header">
    <w:name w:val="header"/>
    <w:basedOn w:val="Normal"/>
    <w:link w:val="HeaderChar"/>
    <w:uiPriority w:val="99"/>
    <w:unhideWhenUsed/>
    <w:rsid w:val="00592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AE3"/>
  </w:style>
  <w:style w:type="paragraph" w:styleId="Footer">
    <w:name w:val="footer"/>
    <w:basedOn w:val="Normal"/>
    <w:link w:val="FooterChar"/>
    <w:uiPriority w:val="99"/>
    <w:unhideWhenUsed/>
    <w:rsid w:val="00592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AE3"/>
  </w:style>
  <w:style w:type="character" w:styleId="UnresolvedMention">
    <w:name w:val="Unresolved Mention"/>
    <w:basedOn w:val="DefaultParagraphFont"/>
    <w:uiPriority w:val="99"/>
    <w:semiHidden/>
    <w:unhideWhenUsed/>
    <w:rsid w:val="008C7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hfngroup.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anada.ca/en/employment-social-development/services/my-account/gck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Theresa2</dc:creator>
  <cp:keywords/>
  <dc:description/>
  <cp:lastModifiedBy>Vicky Nookemus</cp:lastModifiedBy>
  <cp:revision>2</cp:revision>
  <cp:lastPrinted>2020-03-29T18:14:00Z</cp:lastPrinted>
  <dcterms:created xsi:type="dcterms:W3CDTF">2020-04-03T17:53:00Z</dcterms:created>
  <dcterms:modified xsi:type="dcterms:W3CDTF">2020-04-03T17:53:00Z</dcterms:modified>
</cp:coreProperties>
</file>